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10C8" w14:textId="61EC5C9E" w:rsidR="004F0EBB" w:rsidRDefault="00793483" w:rsidP="00793483">
      <w:pPr>
        <w:pStyle w:val="Default"/>
        <w:jc w:val="center"/>
      </w:pPr>
      <w:r>
        <w:rPr>
          <w:b/>
          <w:bCs/>
          <w:noProof/>
          <w:sz w:val="28"/>
          <w:szCs w:val="28"/>
        </w:rPr>
        <w:drawing>
          <wp:inline distT="0" distB="0" distL="0" distR="0" wp14:anchorId="43A9F2DD" wp14:editId="2D86F8FB">
            <wp:extent cx="2787650" cy="1146919"/>
            <wp:effectExtent l="0" t="0" r="0" b="0"/>
            <wp:docPr id="342698957" name="Picture 1" descr="A logo for a research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98957" name="Picture 1" descr="A logo for a research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79" cy="1149564"/>
                    </a:xfrm>
                    <a:prstGeom prst="rect">
                      <a:avLst/>
                    </a:prstGeom>
                    <a:noFill/>
                  </pic:spPr>
                </pic:pic>
              </a:graphicData>
            </a:graphic>
          </wp:inline>
        </w:drawing>
      </w:r>
    </w:p>
    <w:p w14:paraId="1E85AF62" w14:textId="57831070" w:rsidR="00793483" w:rsidRDefault="00793483" w:rsidP="004F0EBB">
      <w:pPr>
        <w:pStyle w:val="Default"/>
        <w:jc w:val="center"/>
        <w:rPr>
          <w:b/>
          <w:bCs/>
          <w:sz w:val="28"/>
          <w:szCs w:val="28"/>
        </w:rPr>
      </w:pPr>
    </w:p>
    <w:p w14:paraId="3EAD5123" w14:textId="77777777" w:rsidR="00793483" w:rsidRDefault="00793483" w:rsidP="004F0EBB">
      <w:pPr>
        <w:pStyle w:val="Default"/>
        <w:jc w:val="center"/>
        <w:rPr>
          <w:b/>
          <w:bCs/>
          <w:sz w:val="28"/>
          <w:szCs w:val="28"/>
        </w:rPr>
      </w:pPr>
    </w:p>
    <w:p w14:paraId="3915568B" w14:textId="77777777" w:rsidR="00793483" w:rsidRDefault="00793483" w:rsidP="004F0EBB">
      <w:pPr>
        <w:pStyle w:val="Default"/>
        <w:jc w:val="center"/>
        <w:rPr>
          <w:b/>
          <w:bCs/>
          <w:sz w:val="28"/>
          <w:szCs w:val="28"/>
        </w:rPr>
      </w:pPr>
    </w:p>
    <w:p w14:paraId="3385041D" w14:textId="77777777" w:rsidR="00793483" w:rsidRDefault="00793483" w:rsidP="004F0EBB">
      <w:pPr>
        <w:pStyle w:val="Default"/>
        <w:jc w:val="center"/>
        <w:rPr>
          <w:b/>
          <w:bCs/>
          <w:sz w:val="28"/>
          <w:szCs w:val="28"/>
        </w:rPr>
      </w:pPr>
    </w:p>
    <w:p w14:paraId="3CD79250" w14:textId="02A5F3C2" w:rsidR="004F0EBB" w:rsidRDefault="004F0EBB" w:rsidP="004F0EBB">
      <w:pPr>
        <w:pStyle w:val="Default"/>
        <w:jc w:val="center"/>
        <w:rPr>
          <w:b/>
          <w:bCs/>
          <w:sz w:val="28"/>
          <w:szCs w:val="28"/>
        </w:rPr>
      </w:pPr>
      <w:r>
        <w:rPr>
          <w:b/>
          <w:bCs/>
          <w:sz w:val="28"/>
          <w:szCs w:val="28"/>
        </w:rPr>
        <w:t>MRC-NIHR TMRP Statistical Analysis Working Group Remit</w:t>
      </w:r>
    </w:p>
    <w:p w14:paraId="1997BB35" w14:textId="77777777" w:rsidR="004F0EBB" w:rsidRDefault="004F0EBB" w:rsidP="004F0EBB">
      <w:pPr>
        <w:pStyle w:val="Default"/>
        <w:rPr>
          <w:sz w:val="28"/>
          <w:szCs w:val="28"/>
        </w:rPr>
      </w:pPr>
    </w:p>
    <w:p w14:paraId="3514CFBE" w14:textId="1F293F51" w:rsidR="004F0EBB" w:rsidRDefault="004F0EBB" w:rsidP="00793483">
      <w:pPr>
        <w:pStyle w:val="Default"/>
        <w:jc w:val="center"/>
        <w:rPr>
          <w:sz w:val="22"/>
          <w:szCs w:val="22"/>
        </w:rPr>
      </w:pPr>
      <w:r>
        <w:rPr>
          <w:b/>
          <w:bCs/>
          <w:sz w:val="22"/>
          <w:szCs w:val="22"/>
        </w:rPr>
        <w:t xml:space="preserve">Co-leads: </w:t>
      </w:r>
      <w:r>
        <w:rPr>
          <w:sz w:val="22"/>
          <w:szCs w:val="22"/>
        </w:rPr>
        <w:t xml:space="preserve">Richard Emsley (King’s College London) and </w:t>
      </w:r>
      <w:r>
        <w:rPr>
          <w:sz w:val="22"/>
          <w:szCs w:val="22"/>
        </w:rPr>
        <w:t>Beatriz Goulao (</w:t>
      </w:r>
      <w:r w:rsidR="00793483" w:rsidRPr="00793483">
        <w:rPr>
          <w:sz w:val="22"/>
          <w:szCs w:val="22"/>
        </w:rPr>
        <w:t>University of Glasgow</w:t>
      </w:r>
      <w:r>
        <w:rPr>
          <w:sz w:val="22"/>
          <w:szCs w:val="22"/>
        </w:rPr>
        <w:t>)</w:t>
      </w:r>
    </w:p>
    <w:p w14:paraId="27C18824" w14:textId="77777777" w:rsidR="004F0EBB" w:rsidRDefault="004F0EBB" w:rsidP="004F0EBB">
      <w:pPr>
        <w:pStyle w:val="Default"/>
        <w:rPr>
          <w:sz w:val="22"/>
          <w:szCs w:val="22"/>
        </w:rPr>
      </w:pPr>
    </w:p>
    <w:p w14:paraId="1ECF331C" w14:textId="77777777" w:rsidR="00793483" w:rsidRDefault="00793483" w:rsidP="004F0EBB">
      <w:pPr>
        <w:pStyle w:val="Default"/>
        <w:rPr>
          <w:b/>
          <w:bCs/>
          <w:sz w:val="22"/>
          <w:szCs w:val="22"/>
        </w:rPr>
      </w:pPr>
    </w:p>
    <w:p w14:paraId="6421B806" w14:textId="21178828" w:rsidR="00793483" w:rsidRDefault="004F0EBB" w:rsidP="004F0EBB">
      <w:pPr>
        <w:pStyle w:val="Default"/>
        <w:rPr>
          <w:b/>
          <w:bCs/>
          <w:sz w:val="22"/>
          <w:szCs w:val="22"/>
        </w:rPr>
      </w:pPr>
      <w:r>
        <w:rPr>
          <w:b/>
          <w:bCs/>
          <w:sz w:val="22"/>
          <w:szCs w:val="22"/>
        </w:rPr>
        <w:t xml:space="preserve">Objectives </w:t>
      </w:r>
    </w:p>
    <w:p w14:paraId="4A332C0F" w14:textId="77777777" w:rsidR="00793483" w:rsidRDefault="00793483" w:rsidP="004F0EBB">
      <w:pPr>
        <w:pStyle w:val="Default"/>
        <w:rPr>
          <w:sz w:val="22"/>
          <w:szCs w:val="22"/>
        </w:rPr>
      </w:pPr>
    </w:p>
    <w:p w14:paraId="179FF449" w14:textId="03CE43C9" w:rsidR="004F0EBB" w:rsidRDefault="004F0EBB" w:rsidP="004F0EBB">
      <w:pPr>
        <w:pStyle w:val="Default"/>
        <w:rPr>
          <w:sz w:val="22"/>
          <w:szCs w:val="22"/>
        </w:rPr>
      </w:pPr>
      <w:r w:rsidRPr="00793483">
        <w:rPr>
          <w:sz w:val="22"/>
          <w:szCs w:val="22"/>
        </w:rPr>
        <w:t>The group’s aim is to improve methods for</w:t>
      </w:r>
      <w:r w:rsidR="00793483" w:rsidRPr="00793483">
        <w:rPr>
          <w:sz w:val="22"/>
          <w:szCs w:val="22"/>
        </w:rPr>
        <w:t xml:space="preserve"> </w:t>
      </w:r>
      <w:r w:rsidR="00793483" w:rsidRPr="00793483">
        <w:rPr>
          <w:sz w:val="22"/>
          <w:szCs w:val="22"/>
        </w:rPr>
        <w:t>the design and analysis of randomised controlled trials (</w:t>
      </w:r>
      <w:proofErr w:type="gramStart"/>
      <w:r w:rsidR="00793483" w:rsidRPr="00793483">
        <w:rPr>
          <w:sz w:val="22"/>
          <w:szCs w:val="22"/>
        </w:rPr>
        <w:t xml:space="preserve">RCTs) </w:t>
      </w:r>
      <w:r w:rsidRPr="00793483">
        <w:rPr>
          <w:sz w:val="22"/>
          <w:szCs w:val="22"/>
        </w:rPr>
        <w:t xml:space="preserve"> through</w:t>
      </w:r>
      <w:proofErr w:type="gramEnd"/>
      <w:r w:rsidRPr="00793483">
        <w:rPr>
          <w:sz w:val="22"/>
          <w:szCs w:val="22"/>
        </w:rPr>
        <w:t xml:space="preserve"> collaborative methodological research and dissemination. The SAWG will support work on </w:t>
      </w:r>
      <w:r w:rsidR="00793483" w:rsidRPr="00793483">
        <w:rPr>
          <w:sz w:val="22"/>
          <w:szCs w:val="22"/>
        </w:rPr>
        <w:t>statistical design and analysis</w:t>
      </w:r>
      <w:r w:rsidRPr="00793483">
        <w:rPr>
          <w:sz w:val="22"/>
          <w:szCs w:val="22"/>
        </w:rPr>
        <w:t xml:space="preserve"> methods that could be written into a trial’s statistical analysis plan (rather general methods that might be applied to secondary trial data). </w:t>
      </w:r>
    </w:p>
    <w:p w14:paraId="3CE869BA" w14:textId="77777777" w:rsidR="00793483" w:rsidRPr="00793483" w:rsidRDefault="00793483" w:rsidP="004F0EBB">
      <w:pPr>
        <w:pStyle w:val="Default"/>
        <w:rPr>
          <w:sz w:val="22"/>
          <w:szCs w:val="22"/>
        </w:rPr>
      </w:pPr>
    </w:p>
    <w:p w14:paraId="6E6B59AD" w14:textId="2AEA7BAB" w:rsidR="004F0EBB" w:rsidRPr="00793483" w:rsidRDefault="004F0EBB" w:rsidP="004F0EBB">
      <w:pPr>
        <w:pStyle w:val="Default"/>
        <w:rPr>
          <w:sz w:val="22"/>
          <w:szCs w:val="22"/>
        </w:rPr>
      </w:pPr>
      <w:r w:rsidRPr="00793483">
        <w:rPr>
          <w:sz w:val="22"/>
          <w:szCs w:val="22"/>
        </w:rPr>
        <w:t xml:space="preserve">Its main objective is to facilitate collaboration among individuals working on similar topics relating to statistical analysis of randomised trials, with the aim of adding value to each other’s work, strengthening links between groups and identifying new areas for research. The group is focusing its efforts </w:t>
      </w:r>
      <w:r w:rsidR="00793483" w:rsidRPr="00793483">
        <w:rPr>
          <w:sz w:val="22"/>
          <w:szCs w:val="22"/>
        </w:rPr>
        <w:t>on</w:t>
      </w:r>
      <w:r w:rsidR="00793483">
        <w:rPr>
          <w:sz w:val="22"/>
          <w:szCs w:val="22"/>
        </w:rPr>
        <w:t xml:space="preserve"> </w:t>
      </w:r>
      <w:r w:rsidRPr="00793483">
        <w:rPr>
          <w:sz w:val="22"/>
          <w:szCs w:val="22"/>
        </w:rPr>
        <w:t xml:space="preserve">preparing tutorial papers for applied journals and mainstream medical journals; presentations and lectures to increase uptake of methods amongst stakeholders; issuing guidance on methods (when to use them, how to use them, when they break); developing software to implement new statistical methods where required; teaching short courses. </w:t>
      </w:r>
    </w:p>
    <w:p w14:paraId="275C34CA" w14:textId="77777777" w:rsidR="004F0EBB" w:rsidRPr="00793483" w:rsidRDefault="004F0EBB" w:rsidP="004F0EBB">
      <w:pPr>
        <w:pStyle w:val="Default"/>
        <w:rPr>
          <w:sz w:val="22"/>
          <w:szCs w:val="22"/>
        </w:rPr>
      </w:pPr>
      <w:r w:rsidRPr="00793483">
        <w:rPr>
          <w:sz w:val="22"/>
          <w:szCs w:val="22"/>
        </w:rPr>
        <w:t xml:space="preserve">We will develop a principled approach to the process of analysing trial data from the inception of study that can be used as a training resource for future clinical trial statisticians. </w:t>
      </w:r>
    </w:p>
    <w:p w14:paraId="35D09D83" w14:textId="77777777" w:rsidR="004F0EBB" w:rsidRDefault="004F0EBB" w:rsidP="004F0EBB">
      <w:pPr>
        <w:pStyle w:val="Default"/>
        <w:rPr>
          <w:sz w:val="22"/>
          <w:szCs w:val="22"/>
        </w:rPr>
      </w:pPr>
    </w:p>
    <w:p w14:paraId="1761F570" w14:textId="77777777" w:rsidR="004F0EBB" w:rsidRDefault="004F0EBB" w:rsidP="004F0EBB">
      <w:pPr>
        <w:pStyle w:val="Default"/>
        <w:rPr>
          <w:sz w:val="22"/>
          <w:szCs w:val="22"/>
        </w:rPr>
      </w:pPr>
      <w:r>
        <w:rPr>
          <w:b/>
          <w:bCs/>
          <w:sz w:val="22"/>
          <w:szCs w:val="22"/>
        </w:rPr>
        <w:t xml:space="preserve">Research areas to target </w:t>
      </w:r>
    </w:p>
    <w:p w14:paraId="24118B2D" w14:textId="41DD391C" w:rsidR="004F0EBB" w:rsidRDefault="004F0EBB" w:rsidP="004F0EBB">
      <w:pPr>
        <w:pStyle w:val="Default"/>
        <w:numPr>
          <w:ilvl w:val="0"/>
          <w:numId w:val="1"/>
        </w:numPr>
        <w:spacing w:after="109"/>
        <w:rPr>
          <w:sz w:val="22"/>
          <w:szCs w:val="22"/>
        </w:rPr>
      </w:pPr>
      <w:r>
        <w:rPr>
          <w:sz w:val="22"/>
          <w:szCs w:val="22"/>
        </w:rPr>
        <w:t xml:space="preserve"> Approaches to covariate </w:t>
      </w:r>
      <w:r w:rsidR="00793483">
        <w:rPr>
          <w:sz w:val="22"/>
          <w:szCs w:val="22"/>
        </w:rPr>
        <w:t>adjustment.</w:t>
      </w:r>
      <w:r>
        <w:rPr>
          <w:sz w:val="22"/>
          <w:szCs w:val="22"/>
        </w:rPr>
        <w:t xml:space="preserve"> </w:t>
      </w:r>
    </w:p>
    <w:p w14:paraId="50150DBF" w14:textId="4EC0CE22" w:rsidR="004F0EBB" w:rsidRDefault="004F0EBB" w:rsidP="004F0EBB">
      <w:pPr>
        <w:pStyle w:val="Default"/>
        <w:numPr>
          <w:ilvl w:val="0"/>
          <w:numId w:val="1"/>
        </w:numPr>
        <w:spacing w:after="109"/>
        <w:rPr>
          <w:sz w:val="22"/>
          <w:szCs w:val="22"/>
        </w:rPr>
      </w:pPr>
      <w:r>
        <w:rPr>
          <w:sz w:val="22"/>
          <w:szCs w:val="22"/>
        </w:rPr>
        <w:t>Approaches to survival data</w:t>
      </w:r>
      <w:r w:rsidR="00793483">
        <w:rPr>
          <w:sz w:val="22"/>
          <w:szCs w:val="22"/>
        </w:rPr>
        <w:t>.</w:t>
      </w:r>
      <w:r>
        <w:rPr>
          <w:sz w:val="22"/>
          <w:szCs w:val="22"/>
        </w:rPr>
        <w:t xml:space="preserve"> </w:t>
      </w:r>
    </w:p>
    <w:p w14:paraId="52BD2E67" w14:textId="071E40A1" w:rsidR="004F0EBB" w:rsidRDefault="004F0EBB" w:rsidP="004F0EBB">
      <w:pPr>
        <w:pStyle w:val="Default"/>
        <w:numPr>
          <w:ilvl w:val="0"/>
          <w:numId w:val="1"/>
        </w:numPr>
        <w:spacing w:after="109"/>
        <w:rPr>
          <w:sz w:val="22"/>
          <w:szCs w:val="22"/>
        </w:rPr>
      </w:pPr>
      <w:r>
        <w:rPr>
          <w:sz w:val="22"/>
          <w:szCs w:val="22"/>
        </w:rPr>
        <w:t xml:space="preserve">Methods for missing </w:t>
      </w:r>
      <w:r w:rsidR="00793483">
        <w:rPr>
          <w:sz w:val="22"/>
          <w:szCs w:val="22"/>
        </w:rPr>
        <w:t>data.</w:t>
      </w:r>
      <w:r>
        <w:rPr>
          <w:sz w:val="22"/>
          <w:szCs w:val="22"/>
        </w:rPr>
        <w:t xml:space="preserve"> </w:t>
      </w:r>
    </w:p>
    <w:p w14:paraId="3EAA1357" w14:textId="4AFB74D1" w:rsidR="004F0EBB" w:rsidRDefault="004F0EBB" w:rsidP="004F0EBB">
      <w:pPr>
        <w:pStyle w:val="Default"/>
        <w:numPr>
          <w:ilvl w:val="0"/>
          <w:numId w:val="1"/>
        </w:numPr>
        <w:spacing w:after="109"/>
        <w:rPr>
          <w:sz w:val="22"/>
          <w:szCs w:val="22"/>
        </w:rPr>
      </w:pPr>
      <w:r>
        <w:rPr>
          <w:sz w:val="22"/>
          <w:szCs w:val="22"/>
        </w:rPr>
        <w:t xml:space="preserve">Causal </w:t>
      </w:r>
      <w:r w:rsidR="00793483">
        <w:rPr>
          <w:sz w:val="22"/>
          <w:szCs w:val="22"/>
        </w:rPr>
        <w:t>modelling.</w:t>
      </w:r>
      <w:r>
        <w:rPr>
          <w:sz w:val="22"/>
          <w:szCs w:val="22"/>
        </w:rPr>
        <w:t xml:space="preserve"> </w:t>
      </w:r>
    </w:p>
    <w:p w14:paraId="1DB4B5FE" w14:textId="1A46A385" w:rsidR="004F0EBB" w:rsidRDefault="004F0EBB" w:rsidP="004F0EBB">
      <w:pPr>
        <w:pStyle w:val="Default"/>
        <w:numPr>
          <w:ilvl w:val="0"/>
          <w:numId w:val="1"/>
        </w:numPr>
        <w:spacing w:after="109"/>
        <w:rPr>
          <w:sz w:val="22"/>
          <w:szCs w:val="22"/>
        </w:rPr>
      </w:pPr>
      <w:r>
        <w:rPr>
          <w:sz w:val="22"/>
          <w:szCs w:val="22"/>
        </w:rPr>
        <w:t xml:space="preserve">Assessing </w:t>
      </w:r>
      <w:r w:rsidR="00793483">
        <w:rPr>
          <w:sz w:val="22"/>
          <w:szCs w:val="22"/>
        </w:rPr>
        <w:t>generalisability.</w:t>
      </w:r>
      <w:r>
        <w:rPr>
          <w:sz w:val="22"/>
          <w:szCs w:val="22"/>
        </w:rPr>
        <w:t xml:space="preserve"> </w:t>
      </w:r>
    </w:p>
    <w:p w14:paraId="38B68C65" w14:textId="1B86E2E6" w:rsidR="004F0EBB" w:rsidRDefault="004F0EBB" w:rsidP="004F0EBB">
      <w:pPr>
        <w:pStyle w:val="Default"/>
        <w:numPr>
          <w:ilvl w:val="0"/>
          <w:numId w:val="1"/>
        </w:numPr>
        <w:spacing w:after="109"/>
        <w:rPr>
          <w:sz w:val="22"/>
          <w:szCs w:val="22"/>
        </w:rPr>
      </w:pPr>
      <w:r>
        <w:rPr>
          <w:sz w:val="22"/>
          <w:szCs w:val="22"/>
        </w:rPr>
        <w:t xml:space="preserve">Defining </w:t>
      </w:r>
      <w:r w:rsidR="00793483">
        <w:rPr>
          <w:sz w:val="22"/>
          <w:szCs w:val="22"/>
        </w:rPr>
        <w:t>estimands.</w:t>
      </w:r>
      <w:r>
        <w:rPr>
          <w:sz w:val="22"/>
          <w:szCs w:val="22"/>
        </w:rPr>
        <w:t xml:space="preserve"> </w:t>
      </w:r>
    </w:p>
    <w:p w14:paraId="4E34BE3B" w14:textId="32205C46" w:rsidR="004F0EBB" w:rsidRDefault="004F0EBB" w:rsidP="004F0EBB">
      <w:pPr>
        <w:pStyle w:val="Default"/>
        <w:numPr>
          <w:ilvl w:val="0"/>
          <w:numId w:val="1"/>
        </w:numPr>
        <w:spacing w:after="109"/>
        <w:rPr>
          <w:sz w:val="22"/>
          <w:szCs w:val="22"/>
        </w:rPr>
      </w:pPr>
      <w:r>
        <w:rPr>
          <w:sz w:val="22"/>
          <w:szCs w:val="22"/>
        </w:rPr>
        <w:t xml:space="preserve">Analysis issues specific to efficient trial </w:t>
      </w:r>
      <w:r w:rsidR="00793483">
        <w:rPr>
          <w:sz w:val="22"/>
          <w:szCs w:val="22"/>
        </w:rPr>
        <w:t>designs.</w:t>
      </w:r>
      <w:r>
        <w:rPr>
          <w:sz w:val="22"/>
          <w:szCs w:val="22"/>
        </w:rPr>
        <w:t xml:space="preserve"> </w:t>
      </w:r>
    </w:p>
    <w:p w14:paraId="5872B878" w14:textId="76067F84" w:rsidR="004F0EBB" w:rsidRDefault="004F0EBB" w:rsidP="004F0EBB">
      <w:pPr>
        <w:pStyle w:val="Default"/>
        <w:numPr>
          <w:ilvl w:val="0"/>
          <w:numId w:val="1"/>
        </w:numPr>
        <w:rPr>
          <w:sz w:val="22"/>
          <w:szCs w:val="22"/>
        </w:rPr>
      </w:pPr>
      <w:r>
        <w:rPr>
          <w:sz w:val="22"/>
          <w:szCs w:val="22"/>
        </w:rPr>
        <w:t xml:space="preserve">Preparing analysis for future meta-analysis of trials. </w:t>
      </w:r>
    </w:p>
    <w:p w14:paraId="441BC808" w14:textId="77777777" w:rsidR="004F0EBB" w:rsidRDefault="004F0EBB" w:rsidP="004F0EBB">
      <w:pPr>
        <w:pStyle w:val="Default"/>
        <w:rPr>
          <w:sz w:val="22"/>
          <w:szCs w:val="22"/>
        </w:rPr>
      </w:pPr>
    </w:p>
    <w:p w14:paraId="78D5BF15" w14:textId="77777777" w:rsidR="004F0EBB" w:rsidRDefault="004F0EBB" w:rsidP="004F0EBB">
      <w:pPr>
        <w:pStyle w:val="Default"/>
        <w:rPr>
          <w:b/>
          <w:bCs/>
          <w:sz w:val="22"/>
          <w:szCs w:val="22"/>
        </w:rPr>
      </w:pPr>
      <w:r>
        <w:rPr>
          <w:b/>
          <w:bCs/>
          <w:sz w:val="22"/>
          <w:szCs w:val="22"/>
        </w:rPr>
        <w:t xml:space="preserve">Membership </w:t>
      </w:r>
    </w:p>
    <w:p w14:paraId="0954C8A1" w14:textId="77777777" w:rsidR="004F0EBB" w:rsidRDefault="004F0EBB" w:rsidP="004F0EBB">
      <w:pPr>
        <w:pStyle w:val="Default"/>
        <w:rPr>
          <w:sz w:val="22"/>
          <w:szCs w:val="22"/>
        </w:rPr>
      </w:pPr>
    </w:p>
    <w:p w14:paraId="3B108336" w14:textId="77777777" w:rsidR="004F0EBB" w:rsidRDefault="004F0EBB" w:rsidP="004F0EBB">
      <w:pPr>
        <w:pStyle w:val="Default"/>
        <w:rPr>
          <w:sz w:val="22"/>
          <w:szCs w:val="22"/>
        </w:rPr>
      </w:pPr>
      <w:r>
        <w:rPr>
          <w:sz w:val="22"/>
          <w:szCs w:val="22"/>
        </w:rPr>
        <w:t xml:space="preserve">Members will include individuals and research groups working on developing and applying methods for statistical analysis and those with an interest in using these methods; for example, trial statisticians with specific statistical problems who lack the time to work on them. </w:t>
      </w:r>
    </w:p>
    <w:p w14:paraId="03868EC1" w14:textId="77777777" w:rsidR="004F0EBB" w:rsidRPr="004F0EBB" w:rsidRDefault="004F0EBB" w:rsidP="004F0EBB">
      <w:pPr>
        <w:pStyle w:val="Default"/>
        <w:rPr>
          <w:sz w:val="22"/>
          <w:szCs w:val="22"/>
        </w:rPr>
      </w:pPr>
      <w:r>
        <w:rPr>
          <w:sz w:val="22"/>
          <w:szCs w:val="22"/>
        </w:rPr>
        <w:t xml:space="preserve">We plan to have a ‘core’ group of up to 10 individuals (actively working on statistical methods) who will meet every 3 </w:t>
      </w:r>
      <w:r w:rsidRPr="004F0EBB">
        <w:rPr>
          <w:sz w:val="22"/>
          <w:szCs w:val="22"/>
        </w:rPr>
        <w:t xml:space="preserve">months. There will be a wider group of members and stakeholders for annual meetings. </w:t>
      </w:r>
    </w:p>
    <w:p w14:paraId="136AF567" w14:textId="77777777" w:rsidR="004F0EBB" w:rsidRPr="004F0EBB" w:rsidRDefault="004F0EBB" w:rsidP="004F0EBB">
      <w:pPr>
        <w:pStyle w:val="Default"/>
        <w:rPr>
          <w:sz w:val="22"/>
          <w:szCs w:val="22"/>
        </w:rPr>
      </w:pPr>
    </w:p>
    <w:p w14:paraId="5C1F3750" w14:textId="77777777" w:rsidR="004F0EBB" w:rsidRPr="004F0EBB" w:rsidRDefault="004F0EBB" w:rsidP="004F0EBB">
      <w:pPr>
        <w:pStyle w:val="Default"/>
        <w:rPr>
          <w:sz w:val="22"/>
          <w:szCs w:val="22"/>
        </w:rPr>
      </w:pPr>
      <w:r w:rsidRPr="004F0EBB">
        <w:rPr>
          <w:b/>
          <w:bCs/>
          <w:sz w:val="22"/>
          <w:szCs w:val="22"/>
        </w:rPr>
        <w:t xml:space="preserve">Collaborations </w:t>
      </w:r>
    </w:p>
    <w:p w14:paraId="3499D08E" w14:textId="7B476299" w:rsidR="004F0EBB" w:rsidRPr="004F0EBB" w:rsidRDefault="004F0EBB" w:rsidP="004F0EBB">
      <w:pPr>
        <w:pStyle w:val="Default"/>
        <w:numPr>
          <w:ilvl w:val="0"/>
          <w:numId w:val="1"/>
        </w:numPr>
        <w:spacing w:after="109"/>
        <w:rPr>
          <w:sz w:val="22"/>
          <w:szCs w:val="22"/>
        </w:rPr>
      </w:pPr>
      <w:r w:rsidRPr="004F0EBB">
        <w:rPr>
          <w:sz w:val="22"/>
          <w:szCs w:val="22"/>
        </w:rPr>
        <w:t>UKCRC Registered Clinical Trials Unit (CTU) Network Statistics Working Group</w:t>
      </w:r>
      <w:r w:rsidR="00793483">
        <w:rPr>
          <w:sz w:val="22"/>
          <w:szCs w:val="22"/>
        </w:rPr>
        <w:t>.</w:t>
      </w:r>
    </w:p>
    <w:p w14:paraId="0BE29EEC" w14:textId="7C9E79C5" w:rsidR="004F0EBB" w:rsidRPr="004F0EBB" w:rsidRDefault="004F0EBB" w:rsidP="004F0EBB">
      <w:pPr>
        <w:pStyle w:val="Default"/>
        <w:numPr>
          <w:ilvl w:val="0"/>
          <w:numId w:val="1"/>
        </w:numPr>
        <w:spacing w:after="109"/>
        <w:rPr>
          <w:sz w:val="22"/>
          <w:szCs w:val="22"/>
        </w:rPr>
      </w:pPr>
      <w:r w:rsidRPr="004F0EBB">
        <w:rPr>
          <w:sz w:val="22"/>
          <w:szCs w:val="22"/>
        </w:rPr>
        <w:lastRenderedPageBreak/>
        <w:t>Funders (UKRI and NIHR) and charities with funding panels</w:t>
      </w:r>
      <w:r w:rsidR="00793483">
        <w:rPr>
          <w:sz w:val="22"/>
          <w:szCs w:val="22"/>
        </w:rPr>
        <w:t>.</w:t>
      </w:r>
      <w:r w:rsidRPr="004F0EBB">
        <w:rPr>
          <w:sz w:val="22"/>
          <w:szCs w:val="22"/>
        </w:rPr>
        <w:t xml:space="preserve"> </w:t>
      </w:r>
    </w:p>
    <w:p w14:paraId="0FF77437" w14:textId="66B273E0" w:rsidR="004F0EBB" w:rsidRPr="004F0EBB" w:rsidRDefault="004F0EBB" w:rsidP="004F0EBB">
      <w:pPr>
        <w:pStyle w:val="Default"/>
        <w:numPr>
          <w:ilvl w:val="0"/>
          <w:numId w:val="1"/>
        </w:numPr>
        <w:spacing w:after="109"/>
        <w:rPr>
          <w:sz w:val="22"/>
          <w:szCs w:val="22"/>
        </w:rPr>
      </w:pPr>
      <w:r w:rsidRPr="004F0EBB">
        <w:rPr>
          <w:sz w:val="22"/>
          <w:szCs w:val="22"/>
        </w:rPr>
        <w:t>NIHR Statistics Group</w:t>
      </w:r>
      <w:r w:rsidR="00793483">
        <w:rPr>
          <w:sz w:val="22"/>
          <w:szCs w:val="22"/>
        </w:rPr>
        <w:t>.</w:t>
      </w:r>
      <w:r w:rsidRPr="004F0EBB">
        <w:rPr>
          <w:sz w:val="22"/>
          <w:szCs w:val="22"/>
        </w:rPr>
        <w:t xml:space="preserve"> </w:t>
      </w:r>
    </w:p>
    <w:p w14:paraId="23322977" w14:textId="67143536" w:rsidR="004F0EBB" w:rsidRPr="004F0EBB" w:rsidRDefault="004F0EBB" w:rsidP="004F0EBB">
      <w:pPr>
        <w:pStyle w:val="Default"/>
        <w:numPr>
          <w:ilvl w:val="0"/>
          <w:numId w:val="1"/>
        </w:numPr>
        <w:rPr>
          <w:sz w:val="22"/>
          <w:szCs w:val="22"/>
        </w:rPr>
      </w:pPr>
      <w:r w:rsidRPr="004F0EBB">
        <w:rPr>
          <w:sz w:val="22"/>
          <w:szCs w:val="22"/>
        </w:rPr>
        <w:t>Other TMRP working groups (especially outcomes, stratified medicine, and adaptive designs</w:t>
      </w:r>
      <w:r w:rsidR="00793483">
        <w:rPr>
          <w:sz w:val="22"/>
          <w:szCs w:val="22"/>
        </w:rPr>
        <w:t>.</w:t>
      </w:r>
      <w:r w:rsidRPr="004F0EBB">
        <w:rPr>
          <w:sz w:val="22"/>
          <w:szCs w:val="22"/>
        </w:rPr>
        <w:t xml:space="preserve"> </w:t>
      </w:r>
    </w:p>
    <w:p w14:paraId="77812414" w14:textId="77777777" w:rsidR="00C73080" w:rsidRDefault="00C73080"/>
    <w:sectPr w:rsidR="00C73080" w:rsidSect="004F0EBB">
      <w:pgSz w:w="11906" w:h="17338"/>
      <w:pgMar w:top="1323" w:right="797" w:bottom="643" w:left="12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7276"/>
    <w:multiLevelType w:val="hybridMultilevel"/>
    <w:tmpl w:val="1FA2F1A6"/>
    <w:lvl w:ilvl="0" w:tplc="A59E0EC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30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BB"/>
    <w:rsid w:val="000245B6"/>
    <w:rsid w:val="00057253"/>
    <w:rsid w:val="00404771"/>
    <w:rsid w:val="004F0EBB"/>
    <w:rsid w:val="00746150"/>
    <w:rsid w:val="00793483"/>
    <w:rsid w:val="00B405A2"/>
    <w:rsid w:val="00B56384"/>
    <w:rsid w:val="00C73080"/>
    <w:rsid w:val="00F22FCF"/>
    <w:rsid w:val="00F4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2556E"/>
  <w15:chartTrackingRefBased/>
  <w15:docId w15:val="{3CA3E67F-37E9-4EE3-941D-B716D97F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50"/>
  </w:style>
  <w:style w:type="paragraph" w:styleId="Heading1">
    <w:name w:val="heading 1"/>
    <w:basedOn w:val="Normal"/>
    <w:next w:val="Normal"/>
    <w:link w:val="Heading1Char"/>
    <w:uiPriority w:val="9"/>
    <w:qFormat/>
    <w:rsid w:val="004F0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2FCF"/>
    <w:pPr>
      <w:keepNext/>
      <w:keepLines/>
      <w:pBdr>
        <w:top w:val="single" w:sz="4" w:space="1" w:color="CC3300"/>
        <w:left w:val="single" w:sz="4" w:space="4" w:color="CC3300"/>
        <w:bottom w:val="single" w:sz="4" w:space="1" w:color="CC3300"/>
        <w:right w:val="single" w:sz="4" w:space="4" w:color="CC3300"/>
      </w:pBdr>
      <w:shd w:val="solid" w:color="auto" w:fill="CC3300"/>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semiHidden/>
    <w:unhideWhenUsed/>
    <w:qFormat/>
    <w:rsid w:val="004F0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FCF"/>
    <w:rPr>
      <w:rFonts w:asciiTheme="majorHAnsi" w:eastAsiaTheme="majorEastAsia" w:hAnsiTheme="majorHAnsi" w:cstheme="majorBidi"/>
      <w:color w:val="FFFFFF" w:themeColor="background1"/>
      <w:sz w:val="26"/>
      <w:szCs w:val="26"/>
      <w:shd w:val="solid" w:color="auto" w:fill="CC3300"/>
    </w:rPr>
  </w:style>
  <w:style w:type="character" w:customStyle="1" w:styleId="Heading1Char">
    <w:name w:val="Heading 1 Char"/>
    <w:basedOn w:val="DefaultParagraphFont"/>
    <w:link w:val="Heading1"/>
    <w:uiPriority w:val="9"/>
    <w:rsid w:val="004F0EB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F0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EBB"/>
    <w:rPr>
      <w:rFonts w:eastAsiaTheme="majorEastAsia" w:cstheme="majorBidi"/>
      <w:color w:val="272727" w:themeColor="text1" w:themeTint="D8"/>
    </w:rPr>
  </w:style>
  <w:style w:type="paragraph" w:styleId="Title">
    <w:name w:val="Title"/>
    <w:basedOn w:val="Normal"/>
    <w:next w:val="Normal"/>
    <w:link w:val="TitleChar"/>
    <w:uiPriority w:val="10"/>
    <w:qFormat/>
    <w:rsid w:val="004F0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EBB"/>
    <w:pPr>
      <w:spacing w:before="160"/>
      <w:jc w:val="center"/>
    </w:pPr>
    <w:rPr>
      <w:i/>
      <w:iCs/>
      <w:color w:val="404040" w:themeColor="text1" w:themeTint="BF"/>
    </w:rPr>
  </w:style>
  <w:style w:type="character" w:customStyle="1" w:styleId="QuoteChar">
    <w:name w:val="Quote Char"/>
    <w:basedOn w:val="DefaultParagraphFont"/>
    <w:link w:val="Quote"/>
    <w:uiPriority w:val="29"/>
    <w:rsid w:val="004F0EBB"/>
    <w:rPr>
      <w:i/>
      <w:iCs/>
      <w:color w:val="404040" w:themeColor="text1" w:themeTint="BF"/>
    </w:rPr>
  </w:style>
  <w:style w:type="paragraph" w:styleId="ListParagraph">
    <w:name w:val="List Paragraph"/>
    <w:basedOn w:val="Normal"/>
    <w:uiPriority w:val="34"/>
    <w:qFormat/>
    <w:rsid w:val="004F0EBB"/>
    <w:pPr>
      <w:ind w:left="720"/>
      <w:contextualSpacing/>
    </w:pPr>
  </w:style>
  <w:style w:type="character" w:styleId="IntenseEmphasis">
    <w:name w:val="Intense Emphasis"/>
    <w:basedOn w:val="DefaultParagraphFont"/>
    <w:uiPriority w:val="21"/>
    <w:qFormat/>
    <w:rsid w:val="004F0EBB"/>
    <w:rPr>
      <w:i/>
      <w:iCs/>
      <w:color w:val="0F4761" w:themeColor="accent1" w:themeShade="BF"/>
    </w:rPr>
  </w:style>
  <w:style w:type="paragraph" w:styleId="IntenseQuote">
    <w:name w:val="Intense Quote"/>
    <w:basedOn w:val="Normal"/>
    <w:next w:val="Normal"/>
    <w:link w:val="IntenseQuoteChar"/>
    <w:uiPriority w:val="30"/>
    <w:qFormat/>
    <w:rsid w:val="004F0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EBB"/>
    <w:rPr>
      <w:i/>
      <w:iCs/>
      <w:color w:val="0F4761" w:themeColor="accent1" w:themeShade="BF"/>
    </w:rPr>
  </w:style>
  <w:style w:type="character" w:styleId="IntenseReference">
    <w:name w:val="Intense Reference"/>
    <w:basedOn w:val="DefaultParagraphFont"/>
    <w:uiPriority w:val="32"/>
    <w:qFormat/>
    <w:rsid w:val="004F0EBB"/>
    <w:rPr>
      <w:b/>
      <w:bCs/>
      <w:smallCaps/>
      <w:color w:val="0F4761" w:themeColor="accent1" w:themeShade="BF"/>
      <w:spacing w:val="5"/>
    </w:rPr>
  </w:style>
  <w:style w:type="paragraph" w:customStyle="1" w:styleId="Default">
    <w:name w:val="Default"/>
    <w:rsid w:val="004F0EB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2087</Characters>
  <Application>Microsoft Office Word</Application>
  <DocSecurity>0</DocSecurity>
  <Lines>17</Lines>
  <Paragraphs>4</Paragraphs>
  <ScaleCrop>false</ScaleCrop>
  <Company>The University of Liverpool</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dc:creator>
  <cp:keywords/>
  <dc:description/>
  <cp:lastModifiedBy>Kerrie</cp:lastModifiedBy>
  <cp:revision>2</cp:revision>
  <dcterms:created xsi:type="dcterms:W3CDTF">2025-10-06T10:14:00Z</dcterms:created>
  <dcterms:modified xsi:type="dcterms:W3CDTF">2025-10-06T10:23:00Z</dcterms:modified>
</cp:coreProperties>
</file>